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E5" w:rsidRDefault="003C08E5" w:rsidP="003C08E5">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3C08E5" w:rsidRDefault="003C08E5" w:rsidP="003C08E5"/>
    <w:tbl>
      <w:tblPr>
        <w:tblW w:w="0" w:type="auto"/>
        <w:tblCellMar>
          <w:left w:w="0" w:type="dxa"/>
          <w:right w:w="0" w:type="dxa"/>
        </w:tblCellMar>
        <w:tblLook w:val="04A0" w:firstRow="1" w:lastRow="0" w:firstColumn="1" w:lastColumn="0" w:noHBand="0" w:noVBand="1"/>
      </w:tblPr>
      <w:tblGrid>
        <w:gridCol w:w="1705"/>
        <w:gridCol w:w="7655"/>
      </w:tblGrid>
      <w:tr w:rsidR="003C08E5" w:rsidTr="003C08E5">
        <w:trPr>
          <w:trHeight w:val="405"/>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3C08E5" w:rsidRDefault="003C08E5">
            <w:pPr>
              <w:rPr>
                <w:rFonts w:ascii="Arial" w:hAnsi="Arial" w:cs="Arial"/>
                <w:b/>
                <w:bCs/>
                <w:sz w:val="20"/>
                <w:szCs w:val="20"/>
              </w:rPr>
            </w:pPr>
            <w:r>
              <w:rPr>
                <w:rFonts w:ascii="Arial" w:hAnsi="Arial" w:cs="Arial"/>
                <w:b/>
                <w:bCs/>
                <w:sz w:val="20"/>
                <w:szCs w:val="20"/>
              </w:rPr>
              <w:t>FY19 On-Call Asbestos Abatement</w:t>
            </w:r>
          </w:p>
        </w:tc>
      </w:tr>
      <w:tr w:rsidR="003C08E5" w:rsidTr="003C08E5">
        <w:trPr>
          <w:trHeight w:val="450"/>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3C08E5" w:rsidRDefault="003C08E5">
            <w:pPr>
              <w:rPr>
                <w:rFonts w:ascii="Arial" w:hAnsi="Arial" w:cs="Arial"/>
                <w:b/>
                <w:bCs/>
                <w:sz w:val="20"/>
                <w:szCs w:val="20"/>
              </w:rPr>
            </w:pPr>
            <w:r>
              <w:rPr>
                <w:rFonts w:ascii="Arial" w:hAnsi="Arial" w:cs="Arial"/>
                <w:sz w:val="20"/>
                <w:szCs w:val="20"/>
              </w:rPr>
              <w:t>Missouri State University Campuses</w:t>
            </w:r>
          </w:p>
        </w:tc>
      </w:tr>
      <w:tr w:rsidR="003C08E5" w:rsidTr="003C08E5">
        <w:trPr>
          <w:trHeight w:val="648"/>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3C08E5" w:rsidRDefault="003C08E5">
            <w:pPr>
              <w:rPr>
                <w:rFonts w:ascii="Arial" w:hAnsi="Arial" w:cs="Arial"/>
                <w:b/>
                <w:bCs/>
                <w:sz w:val="20"/>
                <w:szCs w:val="20"/>
              </w:rPr>
            </w:pPr>
            <w:r>
              <w:rPr>
                <w:rFonts w:ascii="Arial" w:hAnsi="Arial" w:cs="Arial"/>
                <w:b/>
                <w:bCs/>
                <w:sz w:val="20"/>
                <w:szCs w:val="20"/>
              </w:rPr>
              <w:t>There will be no pre-bid for this project.</w:t>
            </w:r>
          </w:p>
        </w:tc>
      </w:tr>
      <w:tr w:rsidR="003C08E5" w:rsidTr="003C08E5">
        <w:trPr>
          <w:trHeight w:val="720"/>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Proposal Due Date:</w:t>
            </w:r>
          </w:p>
        </w:tc>
        <w:tc>
          <w:tcPr>
            <w:tcW w:w="9688" w:type="dxa"/>
            <w:tcMar>
              <w:top w:w="0" w:type="dxa"/>
              <w:left w:w="115" w:type="dxa"/>
              <w:bottom w:w="0" w:type="dxa"/>
              <w:right w:w="115" w:type="dxa"/>
            </w:tcMar>
            <w:hideMark/>
          </w:tcPr>
          <w:p w:rsidR="003C08E5" w:rsidRDefault="003C08E5">
            <w:pPr>
              <w:rPr>
                <w:rFonts w:ascii="Arial" w:hAnsi="Arial" w:cs="Arial"/>
                <w:sz w:val="20"/>
                <w:szCs w:val="20"/>
              </w:rPr>
            </w:pPr>
            <w:r>
              <w:rPr>
                <w:rFonts w:ascii="Arial" w:hAnsi="Arial" w:cs="Arial"/>
                <w:b/>
                <w:bCs/>
                <w:sz w:val="20"/>
                <w:szCs w:val="20"/>
              </w:rPr>
              <w:t>June 21, 2018, 2:00 PM,</w:t>
            </w:r>
          </w:p>
          <w:p w:rsidR="003C08E5" w:rsidRDefault="003C08E5">
            <w:pPr>
              <w:rPr>
                <w:rFonts w:ascii="Arial" w:hAnsi="Arial" w:cs="Arial"/>
                <w:b/>
                <w:bCs/>
                <w:sz w:val="20"/>
                <w:szCs w:val="20"/>
              </w:rPr>
            </w:pPr>
            <w:r>
              <w:rPr>
                <w:rFonts w:ascii="Arial" w:hAnsi="Arial" w:cs="Arial"/>
                <w:sz w:val="20"/>
                <w:szCs w:val="20"/>
              </w:rPr>
              <w:t>There will be no public opening for this project.</w:t>
            </w:r>
          </w:p>
        </w:tc>
      </w:tr>
      <w:tr w:rsidR="003C08E5" w:rsidTr="003C08E5">
        <w:trPr>
          <w:trHeight w:val="504"/>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3C08E5" w:rsidRDefault="003C08E5">
            <w:pPr>
              <w:rPr>
                <w:rFonts w:ascii="Arial" w:hAnsi="Arial" w:cs="Arial"/>
                <w:b/>
                <w:bCs/>
                <w:sz w:val="20"/>
                <w:szCs w:val="20"/>
              </w:rPr>
            </w:pPr>
            <w:r>
              <w:rPr>
                <w:rFonts w:ascii="Arial" w:hAnsi="Arial" w:cs="Arial"/>
                <w:b/>
                <w:bCs/>
                <w:sz w:val="20"/>
                <w:szCs w:val="20"/>
              </w:rPr>
              <w:t>$150,000.00</w:t>
            </w:r>
          </w:p>
        </w:tc>
      </w:tr>
      <w:tr w:rsidR="003C08E5" w:rsidTr="003C08E5">
        <w:trPr>
          <w:trHeight w:val="504"/>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3C08E5" w:rsidRDefault="003C08E5">
            <w:pPr>
              <w:keepNext/>
              <w:snapToGrid w:val="0"/>
              <w:rPr>
                <w:rFonts w:ascii="Arial" w:hAnsi="Arial" w:cs="Arial"/>
                <w:b/>
                <w:bCs/>
                <w:sz w:val="20"/>
                <w:szCs w:val="20"/>
              </w:rPr>
            </w:pPr>
            <w:hyperlink r:id="rId6" w:history="1">
              <w:r>
                <w:rPr>
                  <w:rStyle w:val="Hyperlink"/>
                  <w:rFonts w:ascii="Arial" w:hAnsi="Arial" w:cs="Arial"/>
                  <w:b/>
                  <w:bCs/>
                  <w:sz w:val="20"/>
                  <w:szCs w:val="20"/>
                </w:rPr>
                <w:t>Ashley Sliger</w:t>
              </w:r>
            </w:hyperlink>
          </w:p>
        </w:tc>
      </w:tr>
      <w:tr w:rsidR="003C08E5" w:rsidTr="003C08E5">
        <w:trPr>
          <w:trHeight w:val="504"/>
        </w:trPr>
        <w:tc>
          <w:tcPr>
            <w:tcW w:w="1937" w:type="dxa"/>
            <w:tcMar>
              <w:top w:w="0" w:type="dxa"/>
              <w:left w:w="115" w:type="dxa"/>
              <w:bottom w:w="0" w:type="dxa"/>
              <w:right w:w="115" w:type="dxa"/>
            </w:tcMar>
          </w:tcPr>
          <w:p w:rsidR="003C08E5" w:rsidRDefault="003C08E5">
            <w:pPr>
              <w:keepNext/>
              <w:snapToGrid w:val="0"/>
              <w:jc w:val="right"/>
              <w:rPr>
                <w:rFonts w:ascii="Arial" w:hAnsi="Arial" w:cs="Arial"/>
                <w:b/>
                <w:bCs/>
                <w:sz w:val="20"/>
                <w:szCs w:val="20"/>
              </w:rPr>
            </w:pPr>
            <w:r>
              <w:rPr>
                <w:rFonts w:ascii="Arial" w:hAnsi="Arial" w:cs="Arial"/>
                <w:b/>
                <w:bCs/>
                <w:sz w:val="20"/>
                <w:szCs w:val="20"/>
              </w:rPr>
              <w:t>Project Description:</w:t>
            </w:r>
          </w:p>
          <w:p w:rsidR="003C08E5" w:rsidRDefault="003C08E5">
            <w:pPr>
              <w:jc w:val="right"/>
              <w:rPr>
                <w:rFonts w:ascii="Arial" w:hAnsi="Arial" w:cs="Arial"/>
                <w:b/>
                <w:bCs/>
                <w:sz w:val="20"/>
                <w:szCs w:val="20"/>
              </w:rPr>
            </w:pPr>
          </w:p>
        </w:tc>
        <w:tc>
          <w:tcPr>
            <w:tcW w:w="9688" w:type="dxa"/>
            <w:tcMar>
              <w:top w:w="0" w:type="dxa"/>
              <w:left w:w="115" w:type="dxa"/>
              <w:bottom w:w="0" w:type="dxa"/>
              <w:right w:w="115" w:type="dxa"/>
            </w:tcMar>
          </w:tcPr>
          <w:p w:rsidR="003C08E5" w:rsidRDefault="003C08E5">
            <w:pPr>
              <w:keepNext/>
              <w:snapToGrid w:val="0"/>
              <w:rPr>
                <w:rFonts w:ascii="Arial" w:hAnsi="Arial" w:cs="Arial"/>
                <w:b/>
                <w:bCs/>
                <w:sz w:val="20"/>
                <w:szCs w:val="20"/>
              </w:rPr>
            </w:pPr>
            <w:r>
              <w:rPr>
                <w:rFonts w:ascii="Arial" w:hAnsi="Arial" w:cs="Arial"/>
                <w:b/>
                <w:bCs/>
                <w:sz w:val="20"/>
                <w:szCs w:val="20"/>
              </w:rPr>
              <w:t>The Work consists of abating carpet, vinyl asbestos tile and mastic, as well as pipe insulation containing asbestos for the Springfield, Mountain Grove, and West Plains Campuses.</w:t>
            </w:r>
          </w:p>
          <w:p w:rsidR="003C08E5" w:rsidRDefault="003C08E5">
            <w:pPr>
              <w:keepNext/>
              <w:snapToGrid w:val="0"/>
              <w:rPr>
                <w:rFonts w:ascii="Arial" w:hAnsi="Arial" w:cs="Arial"/>
                <w:b/>
                <w:bCs/>
                <w:sz w:val="20"/>
                <w:szCs w:val="20"/>
              </w:rPr>
            </w:pPr>
            <w:r>
              <w:rPr>
                <w:rFonts w:ascii="Arial" w:hAnsi="Arial" w:cs="Arial"/>
                <w:b/>
                <w:bCs/>
                <w:sz w:val="20"/>
                <w:szCs w:val="20"/>
              </w:rPr>
              <w:t xml:space="preserve">   </w:t>
            </w:r>
          </w:p>
          <w:p w:rsidR="003C08E5" w:rsidRDefault="003C08E5">
            <w:pPr>
              <w:keepNext/>
              <w:snapToGrid w:val="0"/>
              <w:rPr>
                <w:rFonts w:ascii="Arial" w:hAnsi="Arial" w:cs="Arial"/>
                <w:b/>
                <w:bCs/>
                <w:sz w:val="20"/>
                <w:szCs w:val="20"/>
              </w:rPr>
            </w:pPr>
            <w:r>
              <w:rPr>
                <w:rFonts w:ascii="Arial" w:hAnsi="Arial" w:cs="Arial"/>
                <w:b/>
                <w:bCs/>
                <w:sz w:val="20"/>
                <w:szCs w:val="20"/>
              </w:rPr>
              <w:t>Initial Contract: July 1, 2018 - June 30, 2019 (FY19)</w:t>
            </w:r>
          </w:p>
          <w:p w:rsidR="003C08E5" w:rsidRDefault="003C08E5">
            <w:pPr>
              <w:keepNext/>
              <w:snapToGrid w:val="0"/>
              <w:rPr>
                <w:rFonts w:ascii="Arial" w:hAnsi="Arial" w:cs="Arial"/>
                <w:b/>
                <w:bCs/>
                <w:sz w:val="20"/>
                <w:szCs w:val="20"/>
              </w:rPr>
            </w:pPr>
            <w:r>
              <w:rPr>
                <w:rFonts w:ascii="Arial" w:hAnsi="Arial" w:cs="Arial"/>
                <w:b/>
                <w:bCs/>
                <w:sz w:val="20"/>
                <w:szCs w:val="20"/>
              </w:rPr>
              <w:t>First Renewal: July 1, 2019 - June 30, 2020 (FY20)</w:t>
            </w:r>
          </w:p>
          <w:p w:rsidR="003C08E5" w:rsidRDefault="003C08E5">
            <w:pPr>
              <w:keepNext/>
              <w:snapToGrid w:val="0"/>
              <w:rPr>
                <w:rFonts w:ascii="Arial" w:hAnsi="Arial" w:cs="Arial"/>
                <w:b/>
                <w:bCs/>
                <w:sz w:val="20"/>
                <w:szCs w:val="20"/>
              </w:rPr>
            </w:pPr>
            <w:r>
              <w:rPr>
                <w:rFonts w:ascii="Arial" w:hAnsi="Arial" w:cs="Arial"/>
                <w:b/>
                <w:bCs/>
                <w:sz w:val="20"/>
                <w:szCs w:val="20"/>
              </w:rPr>
              <w:t>Second Renewal: July 1, 2020 - June 30, 2021 (FY21)</w:t>
            </w:r>
          </w:p>
          <w:p w:rsidR="003C08E5" w:rsidRDefault="003C08E5">
            <w:pPr>
              <w:rPr>
                <w:rFonts w:ascii="Arial" w:hAnsi="Arial" w:cs="Arial"/>
                <w:b/>
                <w:bCs/>
                <w:sz w:val="20"/>
                <w:szCs w:val="20"/>
              </w:rPr>
            </w:pPr>
            <w:r>
              <w:rPr>
                <w:rFonts w:ascii="Arial" w:hAnsi="Arial" w:cs="Arial"/>
                <w:b/>
                <w:bCs/>
                <w:sz w:val="20"/>
                <w:szCs w:val="20"/>
              </w:rPr>
              <w:t>Third Renewal: July 1, 2021 - June 30, 2022 (FY22)</w:t>
            </w:r>
          </w:p>
          <w:p w:rsidR="003C08E5" w:rsidRDefault="003C08E5">
            <w:pPr>
              <w:rPr>
                <w:rFonts w:ascii="Arial" w:hAnsi="Arial" w:cs="Arial"/>
                <w:b/>
                <w:bCs/>
                <w:sz w:val="20"/>
                <w:szCs w:val="20"/>
              </w:rPr>
            </w:pPr>
          </w:p>
        </w:tc>
      </w:tr>
      <w:tr w:rsidR="003C08E5" w:rsidTr="003C08E5">
        <w:trPr>
          <w:trHeight w:val="855"/>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3C08E5" w:rsidRDefault="003C08E5">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June 7,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3C08E5" w:rsidRDefault="003C08E5">
            <w:pPr>
              <w:rPr>
                <w:rFonts w:ascii="Arial" w:hAnsi="Arial" w:cs="Arial"/>
                <w:b/>
                <w:bCs/>
                <w:sz w:val="20"/>
                <w:szCs w:val="20"/>
              </w:rPr>
            </w:pPr>
          </w:p>
        </w:tc>
      </w:tr>
      <w:tr w:rsidR="003C08E5" w:rsidTr="003C08E5">
        <w:trPr>
          <w:trHeight w:val="630"/>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3C08E5" w:rsidRDefault="003C08E5">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$50.00</w:t>
            </w:r>
            <w:r>
              <w:rPr>
                <w:rFonts w:ascii="Arial" w:hAnsi="Arial" w:cs="Arial"/>
                <w:sz w:val="20"/>
                <w:szCs w:val="20"/>
              </w:rPr>
              <w:t xml:space="preserve"> refundable deposit check required for this project. Please make checks payable to Missouri State University. Cash will not be accepted.</w:t>
            </w:r>
          </w:p>
        </w:tc>
      </w:tr>
      <w:tr w:rsidR="003C08E5" w:rsidTr="003C08E5">
        <w:trPr>
          <w:trHeight w:val="630"/>
        </w:trPr>
        <w:tc>
          <w:tcPr>
            <w:tcW w:w="1937" w:type="dxa"/>
            <w:tcMar>
              <w:top w:w="0" w:type="dxa"/>
              <w:left w:w="115" w:type="dxa"/>
              <w:bottom w:w="0" w:type="dxa"/>
              <w:right w:w="115" w:type="dxa"/>
            </w:tcMar>
            <w:hideMark/>
          </w:tcPr>
          <w:p w:rsidR="003C08E5" w:rsidRDefault="003C08E5">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3C08E5" w:rsidRDefault="003C08E5">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7"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tc>
      </w:tr>
      <w:tr w:rsidR="003C08E5" w:rsidTr="003C08E5">
        <w:tc>
          <w:tcPr>
            <w:tcW w:w="1937" w:type="dxa"/>
            <w:tcMar>
              <w:top w:w="0" w:type="dxa"/>
              <w:left w:w="108" w:type="dxa"/>
              <w:bottom w:w="0" w:type="dxa"/>
              <w:right w:w="108" w:type="dxa"/>
            </w:tcMar>
          </w:tcPr>
          <w:p w:rsidR="003C08E5" w:rsidRDefault="003C08E5">
            <w:pPr>
              <w:snapToGrid w:val="0"/>
              <w:rPr>
                <w:rFonts w:ascii="Arial" w:hAnsi="Arial" w:cs="Arial"/>
                <w:b/>
                <w:bCs/>
                <w:color w:val="000000"/>
                <w:sz w:val="20"/>
                <w:szCs w:val="20"/>
              </w:rPr>
            </w:pPr>
          </w:p>
        </w:tc>
        <w:tc>
          <w:tcPr>
            <w:tcW w:w="9688" w:type="dxa"/>
            <w:tcMar>
              <w:top w:w="0" w:type="dxa"/>
              <w:left w:w="108" w:type="dxa"/>
              <w:bottom w:w="0" w:type="dxa"/>
              <w:right w:w="108" w:type="dxa"/>
            </w:tcMar>
          </w:tcPr>
          <w:p w:rsidR="003C08E5" w:rsidRDefault="003C08E5">
            <w:pPr>
              <w:snapToGrid w:val="0"/>
              <w:jc w:val="both"/>
              <w:rPr>
                <w:rFonts w:ascii="Arial" w:hAnsi="Arial" w:cs="Arial"/>
                <w:sz w:val="20"/>
                <w:szCs w:val="20"/>
              </w:rPr>
            </w:pPr>
          </w:p>
        </w:tc>
      </w:tr>
    </w:tbl>
    <w:p w:rsidR="003C08E5" w:rsidRDefault="003C08E5" w:rsidP="003C08E5">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8" w:history="1">
        <w:r>
          <w:rPr>
            <w:rStyle w:val="Hyperlink"/>
            <w:rFonts w:ascii="Arial" w:hAnsi="Arial" w:cs="Arial"/>
            <w:b/>
            <w:bCs/>
            <w:color w:val="000000"/>
            <w:sz w:val="18"/>
            <w:szCs w:val="18"/>
          </w:rPr>
          <w:t>www.missouristate.edu</w:t>
        </w:r>
      </w:hyperlink>
    </w:p>
    <w:p w:rsidR="003C08E5" w:rsidRDefault="003C08E5" w:rsidP="003C08E5">
      <w:pPr>
        <w:snapToGrid w:val="0"/>
        <w:jc w:val="both"/>
        <w:rPr>
          <w:rFonts w:ascii="Arial" w:hAnsi="Arial" w:cs="Arial"/>
          <w:b/>
          <w:bCs/>
          <w:color w:val="80151B"/>
          <w:sz w:val="18"/>
          <w:szCs w:val="18"/>
        </w:rPr>
      </w:pPr>
    </w:p>
    <w:p w:rsidR="00486B46" w:rsidRDefault="00486B46">
      <w:bookmarkStart w:id="0" w:name="_GoBack"/>
      <w:bookmarkEnd w:id="0"/>
    </w:p>
    <w:sectPr w:rsidR="0048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E5"/>
    <w:rsid w:val="003C08E5"/>
    <w:rsid w:val="0048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EA6C-ED81-405C-931A-8768E38F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8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 TargetMode="External"/><Relationship Id="rId3" Type="http://schemas.openxmlformats.org/officeDocument/2006/relationships/webSettings" Target="webSettings.xml"/><Relationship Id="rId7" Type="http://schemas.openxmlformats.org/officeDocument/2006/relationships/hyperlink" Target="https://plan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liger@missouristate.edu" TargetMode="External"/><Relationship Id="rId5" Type="http://schemas.openxmlformats.org/officeDocument/2006/relationships/image" Target="cid:image001.jpg@01D3A0E6.EACDBB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2018-06-13T20:32:00Z</dcterms:created>
  <dcterms:modified xsi:type="dcterms:W3CDTF">2018-06-13T20:33:00Z</dcterms:modified>
</cp:coreProperties>
</file>